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7698" w14:textId="77777777" w:rsidR="00B07668" w:rsidRDefault="00BC5412">
      <w:pPr>
        <w:pStyle w:val="Heading1"/>
        <w:spacing w:before="200" w:line="240" w:lineRule="auto"/>
        <w:jc w:val="center"/>
        <w:rPr>
          <w:rFonts w:ascii="Montserrat" w:eastAsia="Montserrat" w:hAnsi="Montserrat" w:cs="Montserrat"/>
          <w:b/>
          <w:color w:val="408087"/>
        </w:rPr>
      </w:pPr>
      <w:bookmarkStart w:id="0" w:name="_c6ahjcjxz1gq" w:colFirst="0" w:colLast="0"/>
      <w:bookmarkEnd w:id="0"/>
      <w:r>
        <w:rPr>
          <w:rFonts w:ascii="Montserrat" w:eastAsia="Montserrat" w:hAnsi="Montserrat" w:cs="Montserrat"/>
          <w:b/>
          <w:color w:val="408087"/>
        </w:rPr>
        <w:t>Module 1</w:t>
      </w:r>
      <w:r w:rsidR="00B07668">
        <w:rPr>
          <w:rFonts w:ascii="Montserrat" w:eastAsia="Montserrat" w:hAnsi="Montserrat" w:cs="Montserrat"/>
          <w:b/>
          <w:color w:val="408087"/>
        </w:rPr>
        <w:t xml:space="preserve">: The Impact of </w:t>
      </w:r>
      <w:proofErr w:type="spellStart"/>
      <w:r w:rsidR="00B07668">
        <w:rPr>
          <w:rFonts w:ascii="Montserrat" w:eastAsia="Montserrat" w:hAnsi="Montserrat" w:cs="Montserrat"/>
          <w:b/>
          <w:color w:val="408087"/>
        </w:rPr>
        <w:t>Deafblindness</w:t>
      </w:r>
      <w:proofErr w:type="spellEnd"/>
    </w:p>
    <w:p w14:paraId="4AF5A5AF" w14:textId="620F3191" w:rsidR="005701BB" w:rsidRDefault="00BC5412">
      <w:pPr>
        <w:pStyle w:val="Heading1"/>
        <w:spacing w:before="200" w:line="240" w:lineRule="auto"/>
        <w:jc w:val="center"/>
      </w:pPr>
      <w:r>
        <w:rPr>
          <w:rFonts w:ascii="Montserrat" w:eastAsia="Montserrat" w:hAnsi="Montserrat" w:cs="Montserrat"/>
          <w:b/>
          <w:color w:val="408087"/>
        </w:rPr>
        <w:t xml:space="preserve">Lesson 3 </w:t>
      </w:r>
      <w:r w:rsidR="00B07668">
        <w:rPr>
          <w:rFonts w:ascii="Montserrat" w:eastAsia="Montserrat" w:hAnsi="Montserrat" w:cs="Montserrat"/>
          <w:b/>
          <w:color w:val="408087"/>
        </w:rPr>
        <w:t>Quiz</w:t>
      </w:r>
    </w:p>
    <w:p w14:paraId="4CE21858" w14:textId="77777777" w:rsidR="005701BB" w:rsidRDefault="00BC5412">
      <w:pPr>
        <w:pStyle w:val="Heading2"/>
      </w:pPr>
      <w:bookmarkStart w:id="1" w:name="_3veqnel1bj5p" w:colFirst="0" w:colLast="0"/>
      <w:bookmarkEnd w:id="1"/>
      <w:r>
        <w:t>TRUE/FALSE</w:t>
      </w:r>
    </w:p>
    <w:p w14:paraId="18CCC5C8" w14:textId="77777777" w:rsidR="005701BB" w:rsidRDefault="00BC5412">
      <w:pPr>
        <w:numPr>
          <w:ilvl w:val="0"/>
          <w:numId w:val="2"/>
        </w:numPr>
        <w:spacing w:before="200" w:line="240" w:lineRule="auto"/>
      </w:pPr>
      <w:r>
        <w:t xml:space="preserve">When interacting with a child who is deafblind, it is important to use materials and activities you know the child prefers, and creatively adapt and modify things that take advantage of the child’s interests.  </w:t>
      </w:r>
    </w:p>
    <w:p w14:paraId="02CC4D05" w14:textId="77777777" w:rsidR="005701BB" w:rsidRDefault="00BC5412">
      <w:pPr>
        <w:numPr>
          <w:ilvl w:val="0"/>
          <w:numId w:val="2"/>
        </w:numPr>
        <w:spacing w:before="200" w:line="240" w:lineRule="auto"/>
      </w:pPr>
      <w:r>
        <w:t xml:space="preserve">A personal identifier is a concrete object that identifies you to a child who is deafblind and becomes part of your greeting ritual. </w:t>
      </w:r>
    </w:p>
    <w:p w14:paraId="72B3779B" w14:textId="77777777" w:rsidR="005701BB" w:rsidRDefault="00BC5412">
      <w:pPr>
        <w:numPr>
          <w:ilvl w:val="0"/>
          <w:numId w:val="2"/>
        </w:numPr>
        <w:spacing w:before="200" w:line="240" w:lineRule="auto"/>
      </w:pPr>
      <w:r>
        <w:t xml:space="preserve">Whether you are effective in establishing a meaningful connection with a child who is deafblind will likely depend on your responsiveness and patience as a communication partner. </w:t>
      </w:r>
    </w:p>
    <w:p w14:paraId="6A005764" w14:textId="77777777" w:rsidR="005701BB" w:rsidRDefault="00BC5412">
      <w:pPr>
        <w:numPr>
          <w:ilvl w:val="0"/>
          <w:numId w:val="2"/>
        </w:numPr>
        <w:spacing w:before="200" w:line="240" w:lineRule="auto"/>
      </w:pPr>
      <w:r>
        <w:t xml:space="preserve">Mutual interactions with children who are deafblind who have early communication skills, rarely begin by mimicking a child’s movements or sounds.  </w:t>
      </w:r>
    </w:p>
    <w:p w14:paraId="2A257F41" w14:textId="77777777" w:rsidR="005701BB" w:rsidRDefault="00BC5412">
      <w:pPr>
        <w:numPr>
          <w:ilvl w:val="0"/>
          <w:numId w:val="2"/>
        </w:numPr>
        <w:spacing w:before="200" w:line="240" w:lineRule="auto"/>
      </w:pPr>
      <w:r>
        <w:t xml:space="preserve">If a child is completely blind and/or profoundly deaf, you should avoid involving their other senses, such as touch, as it can complicate interactions. </w:t>
      </w:r>
    </w:p>
    <w:p w14:paraId="7B8FB7FA" w14:textId="77777777" w:rsidR="005701BB" w:rsidRDefault="00BC5412">
      <w:pPr>
        <w:numPr>
          <w:ilvl w:val="0"/>
          <w:numId w:val="2"/>
        </w:numPr>
        <w:spacing w:before="200" w:line="240" w:lineRule="auto"/>
      </w:pPr>
      <w:r>
        <w:t xml:space="preserve">The turn-taking strategy teaches a child who is deafblind that conversations involve “give and take” with other people. </w:t>
      </w:r>
    </w:p>
    <w:p w14:paraId="5391EA14" w14:textId="77777777" w:rsidR="005701BB" w:rsidRDefault="00BC5412">
      <w:pPr>
        <w:numPr>
          <w:ilvl w:val="0"/>
          <w:numId w:val="2"/>
        </w:numPr>
        <w:spacing w:before="200" w:line="240" w:lineRule="auto"/>
      </w:pPr>
      <w:r>
        <w:t xml:space="preserve">Wait time or pausing gives a child who is deafblind plenty of time to process information but teaches them to be less independent. </w:t>
      </w:r>
    </w:p>
    <w:p w14:paraId="1FCDEFA3" w14:textId="77777777" w:rsidR="005701BB" w:rsidRDefault="00BC5412">
      <w:pPr>
        <w:numPr>
          <w:ilvl w:val="0"/>
          <w:numId w:val="2"/>
        </w:numPr>
        <w:spacing w:before="200" w:line="240" w:lineRule="auto"/>
      </w:pPr>
      <w:r>
        <w:t xml:space="preserve">The hand-under-hand technique involves placing the child’s hands underneath your hands so you can direct the child to explore particular objects and materials. </w:t>
      </w:r>
    </w:p>
    <w:p w14:paraId="3A6F090C" w14:textId="77777777" w:rsidR="005701BB" w:rsidRDefault="00BC5412">
      <w:pPr>
        <w:numPr>
          <w:ilvl w:val="0"/>
          <w:numId w:val="2"/>
        </w:numPr>
        <w:spacing w:before="200" w:line="240" w:lineRule="auto"/>
      </w:pPr>
      <w:r>
        <w:t xml:space="preserve">When using hand-under-hand with a child who is deafblind who has some usable hearing and/or vision, use your voice and/or body language to reinforce what they’re feeling, hearing, and seeing. </w:t>
      </w:r>
    </w:p>
    <w:p w14:paraId="50BADA1D" w14:textId="77777777" w:rsidR="005701BB" w:rsidRDefault="00BC5412">
      <w:pPr>
        <w:pStyle w:val="Heading2"/>
      </w:pPr>
      <w:bookmarkStart w:id="2" w:name="_yadqlml91eaj" w:colFirst="0" w:colLast="0"/>
      <w:bookmarkEnd w:id="2"/>
      <w:r>
        <w:t>Multiple Choice</w:t>
      </w:r>
    </w:p>
    <w:p w14:paraId="2B4E72B0" w14:textId="77777777" w:rsidR="005701BB" w:rsidRDefault="00BC5412">
      <w:pPr>
        <w:widowControl w:val="0"/>
        <w:numPr>
          <w:ilvl w:val="0"/>
          <w:numId w:val="1"/>
        </w:numPr>
        <w:spacing w:line="240" w:lineRule="auto"/>
      </w:pPr>
      <w:r>
        <w:t>Because all children communicate and have a need to connect with others, it is important for practitioners who work with children who are deafblind to</w:t>
      </w:r>
    </w:p>
    <w:p w14:paraId="7B928FD8" w14:textId="77777777" w:rsidR="005701BB" w:rsidRDefault="00BC5412">
      <w:pPr>
        <w:widowControl w:val="0"/>
        <w:numPr>
          <w:ilvl w:val="1"/>
          <w:numId w:val="1"/>
        </w:numPr>
        <w:spacing w:line="240" w:lineRule="auto"/>
      </w:pPr>
      <w:r>
        <w:t xml:space="preserve">Learn how to interpret their behaviors, movements, and messages. </w:t>
      </w:r>
    </w:p>
    <w:p w14:paraId="40A53D5E" w14:textId="77777777" w:rsidR="005701BB" w:rsidRDefault="00BC5412">
      <w:pPr>
        <w:widowControl w:val="0"/>
        <w:numPr>
          <w:ilvl w:val="1"/>
          <w:numId w:val="1"/>
        </w:numPr>
        <w:spacing w:line="240" w:lineRule="auto"/>
      </w:pPr>
      <w:r>
        <w:t>Let them know they can trust you.</w:t>
      </w:r>
    </w:p>
    <w:p w14:paraId="1E300835" w14:textId="77777777" w:rsidR="005701BB" w:rsidRDefault="00BC5412">
      <w:pPr>
        <w:widowControl w:val="0"/>
        <w:numPr>
          <w:ilvl w:val="1"/>
          <w:numId w:val="1"/>
        </w:numPr>
        <w:spacing w:line="240" w:lineRule="auto"/>
      </w:pPr>
      <w:r>
        <w:t>Let them know you are interested in what they have to say.</w:t>
      </w:r>
    </w:p>
    <w:p w14:paraId="33B7908D" w14:textId="77777777" w:rsidR="005701BB" w:rsidRDefault="00BC5412">
      <w:pPr>
        <w:widowControl w:val="0"/>
        <w:numPr>
          <w:ilvl w:val="1"/>
          <w:numId w:val="1"/>
        </w:numPr>
        <w:spacing w:line="240" w:lineRule="auto"/>
      </w:pPr>
      <w:r>
        <w:t xml:space="preserve">All of the above </w:t>
      </w:r>
    </w:p>
    <w:p w14:paraId="24314D03" w14:textId="77777777" w:rsidR="005701BB" w:rsidRDefault="005701BB">
      <w:pPr>
        <w:widowControl w:val="0"/>
        <w:spacing w:line="240" w:lineRule="auto"/>
        <w:ind w:left="1440"/>
      </w:pPr>
    </w:p>
    <w:p w14:paraId="12643320" w14:textId="77777777" w:rsidR="005701BB" w:rsidRDefault="00BC5412">
      <w:pPr>
        <w:widowControl w:val="0"/>
        <w:numPr>
          <w:ilvl w:val="0"/>
          <w:numId w:val="1"/>
        </w:numPr>
        <w:spacing w:line="240" w:lineRule="auto"/>
      </w:pPr>
      <w:r>
        <w:lastRenderedPageBreak/>
        <w:t>If you do not use a personal identifier, or name cue, when beginning an interaction with a child who is deafblind, what might happen?</w:t>
      </w:r>
    </w:p>
    <w:p w14:paraId="290A0D98" w14:textId="77777777" w:rsidR="005701BB" w:rsidRDefault="00BC5412">
      <w:pPr>
        <w:widowControl w:val="0"/>
        <w:numPr>
          <w:ilvl w:val="1"/>
          <w:numId w:val="1"/>
        </w:numPr>
        <w:spacing w:line="240" w:lineRule="auto"/>
      </w:pPr>
      <w:r>
        <w:t>The child will know who you are and that they can trust you.</w:t>
      </w:r>
    </w:p>
    <w:p w14:paraId="01B85830" w14:textId="77777777" w:rsidR="005701BB" w:rsidRDefault="00BC5412">
      <w:pPr>
        <w:widowControl w:val="0"/>
        <w:numPr>
          <w:ilvl w:val="1"/>
          <w:numId w:val="1"/>
        </w:numPr>
        <w:spacing w:line="240" w:lineRule="auto"/>
      </w:pPr>
      <w:r>
        <w:t xml:space="preserve">The child may not realize you are a different person from the person who last interacted with them. </w:t>
      </w:r>
    </w:p>
    <w:p w14:paraId="181BE65B" w14:textId="77777777" w:rsidR="005701BB" w:rsidRDefault="00BC5412">
      <w:pPr>
        <w:widowControl w:val="0"/>
        <w:numPr>
          <w:ilvl w:val="1"/>
          <w:numId w:val="1"/>
        </w:numPr>
        <w:spacing w:line="240" w:lineRule="auto"/>
      </w:pPr>
      <w:r>
        <w:t xml:space="preserve">The child will know the world is an organized and </w:t>
      </w:r>
      <w:proofErr w:type="spellStart"/>
      <w:proofErr w:type="gramStart"/>
      <w:r>
        <w:t>well ordered</w:t>
      </w:r>
      <w:proofErr w:type="spellEnd"/>
      <w:proofErr w:type="gramEnd"/>
      <w:r>
        <w:t xml:space="preserve"> place.</w:t>
      </w:r>
    </w:p>
    <w:p w14:paraId="0160FE64" w14:textId="77777777" w:rsidR="005701BB" w:rsidRDefault="00BC5412">
      <w:pPr>
        <w:widowControl w:val="0"/>
        <w:numPr>
          <w:ilvl w:val="1"/>
          <w:numId w:val="1"/>
        </w:numPr>
        <w:spacing w:line="240" w:lineRule="auto"/>
      </w:pPr>
      <w:r>
        <w:t>Answers b and c.</w:t>
      </w:r>
    </w:p>
    <w:p w14:paraId="010BF7D5" w14:textId="77777777" w:rsidR="005701BB" w:rsidRDefault="005701BB">
      <w:pPr>
        <w:widowControl w:val="0"/>
        <w:spacing w:line="240" w:lineRule="auto"/>
        <w:ind w:left="1440"/>
      </w:pPr>
    </w:p>
    <w:p w14:paraId="432F4E04" w14:textId="77777777" w:rsidR="005701BB" w:rsidRDefault="00BC5412">
      <w:pPr>
        <w:numPr>
          <w:ilvl w:val="0"/>
          <w:numId w:val="1"/>
        </w:numPr>
      </w:pPr>
      <w:r>
        <w:t>Which of the following is not a general concept or strategy when communicating and interacting with a child who is deafblind?</w:t>
      </w:r>
    </w:p>
    <w:p w14:paraId="08D0D82B" w14:textId="77777777" w:rsidR="005701BB" w:rsidRDefault="00BC5412">
      <w:pPr>
        <w:numPr>
          <w:ilvl w:val="1"/>
          <w:numId w:val="1"/>
        </w:numPr>
      </w:pPr>
      <w:r>
        <w:t>Show respect for and use the child’s methods of communicating (verbal and/or non-verbal).</w:t>
      </w:r>
    </w:p>
    <w:p w14:paraId="4F019348" w14:textId="77777777" w:rsidR="005701BB" w:rsidRDefault="00BC5412">
      <w:pPr>
        <w:numPr>
          <w:ilvl w:val="1"/>
          <w:numId w:val="1"/>
        </w:numPr>
      </w:pPr>
      <w:r>
        <w:t xml:space="preserve">If the child refuses to respond to your request, temporarily remove whatever is engaging the child’s interests at that time.  </w:t>
      </w:r>
    </w:p>
    <w:p w14:paraId="0A7C0AB3" w14:textId="77777777" w:rsidR="005701BB" w:rsidRDefault="00BC5412">
      <w:pPr>
        <w:numPr>
          <w:ilvl w:val="1"/>
          <w:numId w:val="1"/>
        </w:numPr>
      </w:pPr>
      <w:r>
        <w:t>Be interested and engaged in what is of interest to the child at the moment.</w:t>
      </w:r>
    </w:p>
    <w:p w14:paraId="53B32AD3" w14:textId="77777777" w:rsidR="005701BB" w:rsidRDefault="00BC5412">
      <w:pPr>
        <w:numPr>
          <w:ilvl w:val="1"/>
          <w:numId w:val="1"/>
        </w:numPr>
      </w:pPr>
      <w:r>
        <w:t>Be sensitive to and gentle with the child’s hands and other areas of the body that the child uses tactually.</w:t>
      </w:r>
    </w:p>
    <w:p w14:paraId="1B7ECA87" w14:textId="77777777" w:rsidR="005701BB" w:rsidRDefault="005701BB"/>
    <w:p w14:paraId="6A2C69C4" w14:textId="77777777" w:rsidR="005701BB" w:rsidRDefault="00BC5412">
      <w:pPr>
        <w:numPr>
          <w:ilvl w:val="0"/>
          <w:numId w:val="1"/>
        </w:numPr>
      </w:pPr>
      <w:r>
        <w:t xml:space="preserve">When working with a child who is deafblind, both turn taking and wait time (or pausing) </w:t>
      </w:r>
    </w:p>
    <w:p w14:paraId="44E28468" w14:textId="77777777" w:rsidR="005701BB" w:rsidRDefault="00BC5412">
      <w:pPr>
        <w:numPr>
          <w:ilvl w:val="1"/>
          <w:numId w:val="1"/>
        </w:numPr>
      </w:pPr>
      <w:r>
        <w:t xml:space="preserve">Help develop trust between you and the child </w:t>
      </w:r>
    </w:p>
    <w:p w14:paraId="40FE5B74" w14:textId="77777777" w:rsidR="005701BB" w:rsidRDefault="00BC5412">
      <w:pPr>
        <w:numPr>
          <w:ilvl w:val="1"/>
          <w:numId w:val="1"/>
        </w:numPr>
      </w:pPr>
      <w:r>
        <w:t xml:space="preserve">Help the child learn they need to direct their behavior and communication toward other people </w:t>
      </w:r>
    </w:p>
    <w:p w14:paraId="79074A87" w14:textId="77777777" w:rsidR="005701BB" w:rsidRDefault="00BC5412">
      <w:pPr>
        <w:numPr>
          <w:ilvl w:val="1"/>
          <w:numId w:val="1"/>
        </w:numPr>
      </w:pPr>
      <w:r>
        <w:t>Help the child realize that what they communicate can be understood by another person</w:t>
      </w:r>
    </w:p>
    <w:p w14:paraId="27C311A2" w14:textId="77777777" w:rsidR="005701BB" w:rsidRDefault="00BC5412">
      <w:pPr>
        <w:numPr>
          <w:ilvl w:val="1"/>
          <w:numId w:val="1"/>
        </w:numPr>
      </w:pPr>
      <w:r>
        <w:t xml:space="preserve">All of the above </w:t>
      </w:r>
    </w:p>
    <w:p w14:paraId="01883F9C" w14:textId="77777777" w:rsidR="005701BB" w:rsidRDefault="005701BB">
      <w:pPr>
        <w:ind w:left="1440"/>
      </w:pPr>
    </w:p>
    <w:p w14:paraId="62FCE949" w14:textId="77777777" w:rsidR="005701BB" w:rsidRDefault="00BC5412">
      <w:pPr>
        <w:numPr>
          <w:ilvl w:val="0"/>
          <w:numId w:val="1"/>
        </w:numPr>
      </w:pPr>
      <w:r>
        <w:t>When using hand-under-hard appropriately, which of the following are important?</w:t>
      </w:r>
    </w:p>
    <w:p w14:paraId="1B8E7668" w14:textId="77777777" w:rsidR="005701BB" w:rsidRDefault="00BC5412">
      <w:pPr>
        <w:widowControl w:val="0"/>
        <w:numPr>
          <w:ilvl w:val="1"/>
          <w:numId w:val="1"/>
        </w:numPr>
        <w:spacing w:line="240" w:lineRule="auto"/>
      </w:pPr>
      <w:r>
        <w:t>Position yourself close to the child according to their preference, such as next to, behind, or across from them.</w:t>
      </w:r>
    </w:p>
    <w:p w14:paraId="43612D67" w14:textId="77777777" w:rsidR="005701BB" w:rsidRDefault="00BC5412">
      <w:pPr>
        <w:numPr>
          <w:ilvl w:val="1"/>
          <w:numId w:val="1"/>
        </w:numPr>
      </w:pPr>
      <w:r>
        <w:t>Make sure the child is well supported and in a comfortable position.</w:t>
      </w:r>
    </w:p>
    <w:p w14:paraId="0217960C" w14:textId="77777777" w:rsidR="005701BB" w:rsidRDefault="00BC5412">
      <w:pPr>
        <w:numPr>
          <w:ilvl w:val="1"/>
          <w:numId w:val="1"/>
        </w:numPr>
      </w:pPr>
      <w:r>
        <w:t>Prepare objects and materials that are outside the child’s typical preferences.</w:t>
      </w:r>
    </w:p>
    <w:p w14:paraId="5DE404BA" w14:textId="77777777" w:rsidR="005701BB" w:rsidRDefault="00BC5412">
      <w:pPr>
        <w:numPr>
          <w:ilvl w:val="1"/>
          <w:numId w:val="1"/>
        </w:numPr>
      </w:pPr>
      <w:r>
        <w:t xml:space="preserve">Answers a and b are both correct. </w:t>
      </w:r>
    </w:p>
    <w:p w14:paraId="0F964086" w14:textId="77777777" w:rsidR="005701BB" w:rsidRDefault="00BC5412">
      <w:pPr>
        <w:widowControl w:val="0"/>
        <w:spacing w:line="240" w:lineRule="auto"/>
        <w:ind w:left="1440"/>
      </w:pPr>
      <w:r>
        <w:t xml:space="preserve"> </w:t>
      </w:r>
    </w:p>
    <w:p w14:paraId="1235FCD8" w14:textId="77777777" w:rsidR="005701BB" w:rsidRDefault="00BC5412">
      <w:pPr>
        <w:widowControl w:val="0"/>
        <w:numPr>
          <w:ilvl w:val="0"/>
          <w:numId w:val="1"/>
        </w:numPr>
        <w:spacing w:line="240" w:lineRule="auto"/>
      </w:pPr>
      <w:r>
        <w:t>Which of the following are benefits of using the hand-under-hand technique with a child who is deafblind?</w:t>
      </w:r>
    </w:p>
    <w:p w14:paraId="3C31ABBB" w14:textId="77777777" w:rsidR="005701BB" w:rsidRDefault="00BC5412">
      <w:pPr>
        <w:widowControl w:val="0"/>
        <w:numPr>
          <w:ilvl w:val="1"/>
          <w:numId w:val="1"/>
        </w:numPr>
        <w:spacing w:line="240" w:lineRule="auto"/>
      </w:pPr>
      <w:r>
        <w:t>It helps the child safely develop their hands as tools.</w:t>
      </w:r>
    </w:p>
    <w:p w14:paraId="589606CA" w14:textId="77777777" w:rsidR="005701BB" w:rsidRDefault="00BC5412">
      <w:pPr>
        <w:widowControl w:val="0"/>
        <w:numPr>
          <w:ilvl w:val="1"/>
          <w:numId w:val="1"/>
        </w:numPr>
        <w:spacing w:line="240" w:lineRule="auto"/>
      </w:pPr>
      <w:r>
        <w:t xml:space="preserve">It is a way for you to build a trusting relationship with the child.  </w:t>
      </w:r>
    </w:p>
    <w:p w14:paraId="0E8F55C4" w14:textId="77777777" w:rsidR="005701BB" w:rsidRDefault="00BC5412">
      <w:pPr>
        <w:widowControl w:val="0"/>
        <w:numPr>
          <w:ilvl w:val="1"/>
          <w:numId w:val="1"/>
        </w:numPr>
        <w:spacing w:line="240" w:lineRule="auto"/>
      </w:pPr>
      <w:r>
        <w:t>It helps the child learn they can be an equal partner in experiencing something alongside someone else.</w:t>
      </w:r>
    </w:p>
    <w:p w14:paraId="2BDA06A3" w14:textId="77777777" w:rsidR="005701BB" w:rsidRDefault="00BC5412">
      <w:pPr>
        <w:widowControl w:val="0"/>
        <w:numPr>
          <w:ilvl w:val="1"/>
          <w:numId w:val="1"/>
        </w:numPr>
        <w:spacing w:line="240" w:lineRule="auto"/>
      </w:pPr>
      <w:r>
        <w:t>It encourages the child to reach for things and explore more independently.</w:t>
      </w:r>
    </w:p>
    <w:p w14:paraId="663D6B29" w14:textId="77777777" w:rsidR="005701BB" w:rsidRDefault="00BC5412">
      <w:pPr>
        <w:widowControl w:val="0"/>
        <w:numPr>
          <w:ilvl w:val="1"/>
          <w:numId w:val="1"/>
        </w:numPr>
        <w:spacing w:line="240" w:lineRule="auto"/>
      </w:pPr>
      <w:r>
        <w:t xml:space="preserve">All of the above are correct. </w:t>
      </w:r>
    </w:p>
    <w:p w14:paraId="5D44FCD4" w14:textId="77777777" w:rsidR="005701BB" w:rsidRDefault="005701BB">
      <w:pPr>
        <w:widowControl w:val="0"/>
        <w:spacing w:line="240" w:lineRule="auto"/>
      </w:pPr>
    </w:p>
    <w:sectPr w:rsidR="005701BB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8CB3" w14:textId="77777777" w:rsidR="00476B2C" w:rsidRDefault="00476B2C">
      <w:pPr>
        <w:spacing w:line="240" w:lineRule="auto"/>
      </w:pPr>
      <w:r>
        <w:separator/>
      </w:r>
    </w:p>
  </w:endnote>
  <w:endnote w:type="continuationSeparator" w:id="0">
    <w:p w14:paraId="208FDA92" w14:textId="77777777" w:rsidR="00476B2C" w:rsidRDefault="00476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A8EA" w14:textId="77777777" w:rsidR="005701BB" w:rsidRDefault="00BC5412">
    <w:pPr>
      <w:jc w:val="center"/>
      <w:rPr>
        <w:rFonts w:ascii="IBM Plex Sans" w:eastAsia="IBM Plex Sans" w:hAnsi="IBM Plex Sans" w:cs="IBM Plex Sans"/>
        <w:b/>
        <w:sz w:val="20"/>
        <w:szCs w:val="20"/>
        <w:highlight w:val="white"/>
      </w:rPr>
    </w:pPr>
    <w:r>
      <w:rPr>
        <w:rFonts w:ascii="IBM Plex Sans" w:eastAsia="IBM Plex Sans" w:hAnsi="IBM Plex Sans" w:cs="IBM Plex Sans"/>
        <w:b/>
        <w:sz w:val="20"/>
        <w:szCs w:val="20"/>
        <w:highlight w:val="white"/>
      </w:rPr>
      <w:t>National Center on Deaf-Blindness, 2022</w:t>
    </w:r>
  </w:p>
  <w:p w14:paraId="7E0EDB17" w14:textId="77777777" w:rsidR="005701BB" w:rsidRDefault="00BC5412">
    <w:pPr>
      <w:jc w:val="center"/>
      <w:rPr>
        <w:rFonts w:ascii="IBM Plex Sans" w:eastAsia="IBM Plex Sans" w:hAnsi="IBM Plex Sans" w:cs="IBM Plex Sans"/>
        <w:b/>
        <w:sz w:val="20"/>
        <w:szCs w:val="20"/>
        <w:highlight w:val="white"/>
      </w:rPr>
    </w:pPr>
    <w:r>
      <w:rPr>
        <w:rFonts w:ascii="IBM Plex Sans" w:eastAsia="IBM Plex Sans" w:hAnsi="IBM Plex Sans" w:cs="IBM Plex Sans"/>
        <w:b/>
        <w:sz w:val="20"/>
        <w:szCs w:val="20"/>
        <w:highlight w:val="white"/>
      </w:rPr>
      <w:t>nationaldb.org</w:t>
    </w:r>
  </w:p>
  <w:p w14:paraId="1AF80981" w14:textId="77777777" w:rsidR="005701BB" w:rsidRDefault="00BC5412">
    <w:pPr>
      <w:rPr>
        <w:rFonts w:ascii="IBM Plex Sans" w:eastAsia="IBM Plex Sans" w:hAnsi="IBM Plex Sans" w:cs="IBM Plex Sans"/>
        <w:sz w:val="16"/>
        <w:szCs w:val="16"/>
        <w:highlight w:val="white"/>
      </w:rPr>
    </w:pPr>
    <w:r>
      <w:rPr>
        <w:rFonts w:ascii="IBM Plex Sans" w:eastAsia="IBM Plex Sans" w:hAnsi="IBM Plex Sans" w:cs="IBM Plex Sans"/>
        <w:sz w:val="16"/>
        <w:szCs w:val="16"/>
        <w:highlight w:val="white"/>
      </w:rPr>
      <w:t xml:space="preserve">The contents of this publication were developed under a grant from the U.S. Department of Education, #H326T180026. However, those contents do not necessarily represent the policy of the U.S. Department of Education, and you should not assume endorsement by the Federal Government. Project Officer, Susan </w:t>
    </w:r>
    <w:proofErr w:type="spellStart"/>
    <w:r>
      <w:rPr>
        <w:rFonts w:ascii="IBM Plex Sans" w:eastAsia="IBM Plex Sans" w:hAnsi="IBM Plex Sans" w:cs="IBM Plex Sans"/>
        <w:sz w:val="16"/>
        <w:szCs w:val="16"/>
        <w:highlight w:val="white"/>
      </w:rPr>
      <w:t>Weigert</w:t>
    </w:r>
    <w:proofErr w:type="spellEnd"/>
    <w:r>
      <w:rPr>
        <w:rFonts w:ascii="IBM Plex Sans" w:eastAsia="IBM Plex Sans" w:hAnsi="IBM Plex Sans" w:cs="IBM Plex Sans"/>
        <w:sz w:val="16"/>
        <w:szCs w:val="16"/>
        <w:highlight w:val="white"/>
      </w:rPr>
      <w:t>.</w:t>
    </w:r>
  </w:p>
  <w:p w14:paraId="38914EFD" w14:textId="77777777" w:rsidR="005701BB" w:rsidRDefault="00BC5412">
    <w:pPr>
      <w:spacing w:before="120" w:after="120"/>
      <w:jc w:val="center"/>
      <w:rPr>
        <w:rFonts w:ascii="IBM Plex Sans" w:eastAsia="IBM Plex Sans" w:hAnsi="IBM Plex Sans" w:cs="IBM Plex Sans"/>
        <w:sz w:val="24"/>
        <w:szCs w:val="24"/>
        <w:highlight w:val="white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EE88FB2" wp14:editId="5ADD529D">
          <wp:simplePos x="0" y="0"/>
          <wp:positionH relativeFrom="column">
            <wp:posOffset>1676400</wp:posOffset>
          </wp:positionH>
          <wp:positionV relativeFrom="paragraph">
            <wp:posOffset>95250</wp:posOffset>
          </wp:positionV>
          <wp:extent cx="2586038" cy="509819"/>
          <wp:effectExtent l="0" t="0" r="0" b="0"/>
          <wp:wrapSquare wrapText="bothSides" distT="0" distB="0" distL="0" distR="0"/>
          <wp:docPr id="1" name="image1.png" descr="NCDB: National Center on Deaf-Blindness&#10;IDEAs that Work: Office of Special Education Programs, U.S. Department of Educ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CDB: National Center on Deaf-Blindness&#10;IDEAs that Work: Office of Special Education Programs, U.S. Department of Educati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6038" cy="5098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90116F" w14:textId="77777777" w:rsidR="005701BB" w:rsidRDefault="005701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1C3C1" w14:textId="77777777" w:rsidR="00476B2C" w:rsidRDefault="00476B2C">
      <w:pPr>
        <w:spacing w:line="240" w:lineRule="auto"/>
      </w:pPr>
      <w:r>
        <w:separator/>
      </w:r>
    </w:p>
  </w:footnote>
  <w:footnote w:type="continuationSeparator" w:id="0">
    <w:p w14:paraId="021E76ED" w14:textId="77777777" w:rsidR="00476B2C" w:rsidRDefault="00476B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9AC3" w14:textId="5425F7AD" w:rsidR="005701BB" w:rsidRDefault="00B07668">
    <w:pPr>
      <w:spacing w:line="240" w:lineRule="auto"/>
    </w:pPr>
    <w:r>
      <w:rPr>
        <w:noProof/>
      </w:rPr>
      <w:drawing>
        <wp:inline distT="0" distB="0" distL="0" distR="0" wp14:anchorId="4F9B86B5" wp14:editId="1C8BA5F2">
          <wp:extent cx="1965960" cy="921089"/>
          <wp:effectExtent l="0" t="0" r="0" b="0"/>
          <wp:docPr id="4" name="Picture 4" descr="Teaching Children Who Are Deafbli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aching Children Who Are Deafbli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898" cy="928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A36"/>
    <w:multiLevelType w:val="multilevel"/>
    <w:tmpl w:val="75B658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9AD18D5"/>
    <w:multiLevelType w:val="multilevel"/>
    <w:tmpl w:val="9CAA9B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88055150">
    <w:abstractNumId w:val="1"/>
  </w:num>
  <w:num w:numId="2" w16cid:durableId="129525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BB"/>
    <w:rsid w:val="0040050C"/>
    <w:rsid w:val="00476B2C"/>
    <w:rsid w:val="005701BB"/>
    <w:rsid w:val="00B07668"/>
    <w:rsid w:val="00B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88740"/>
  <w15:docId w15:val="{575E4764-DA6B-D44E-9AE3-A65C8345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rFonts w:ascii="Montserrat" w:eastAsia="Montserrat" w:hAnsi="Montserrat" w:cs="Montserrat"/>
      <w:b/>
      <w:color w:val="ED5A5A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076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668"/>
  </w:style>
  <w:style w:type="paragraph" w:styleId="Footer">
    <w:name w:val="footer"/>
    <w:basedOn w:val="Normal"/>
    <w:link w:val="FooterChar"/>
    <w:uiPriority w:val="99"/>
    <w:unhideWhenUsed/>
    <w:rsid w:val="00B076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Peggy</cp:lastModifiedBy>
  <cp:revision>3</cp:revision>
  <dcterms:created xsi:type="dcterms:W3CDTF">2022-06-02T21:35:00Z</dcterms:created>
  <dcterms:modified xsi:type="dcterms:W3CDTF">2022-06-21T15:42:00Z</dcterms:modified>
</cp:coreProperties>
</file>